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00" w:after="100" w:line="240" w:lineRule="auto"/>
        <w:ind w:left="-268" w:leftChars="0" w:right="-1000" w:rightChars="-500"/>
        <w:jc w:val="both"/>
        <w:textAlignment w:val="auto"/>
        <w:outlineLvl w:val="0"/>
        <w:rPr>
          <w:rFonts w:hint="default" w:ascii="Times New Roman" w:hAnsi="Times New Roman"/>
          <w:b/>
          <w:bCs/>
          <w:color w:val="2E75B6" w:themeColor="accent1" w:themeShade="BF"/>
          <w:sz w:val="26"/>
          <w:szCs w:val="26"/>
          <w:lang w:val="en-US"/>
        </w:rPr>
      </w:pPr>
      <w:bookmarkStart w:id="0" w:name="_Toc3356"/>
      <w:bookmarkStart w:id="1" w:name="_Toc32026"/>
      <w:bookmarkStart w:id="2" w:name="_Toc13653"/>
      <w:r>
        <w:rPr>
          <w:rFonts w:hint="default" w:ascii="Times New Roman" w:hAnsi="Times New Roman"/>
          <w:b/>
          <w:bCs/>
          <w:color w:val="2E75B6" w:themeColor="accent1" w:themeShade="BF"/>
          <w:sz w:val="26"/>
          <w:szCs w:val="26"/>
          <w:lang w:val="en-US"/>
        </w:rPr>
        <w:t>MẪU QUY CHẾ DÂN CHỦ Ở CƠ SỞ</w:t>
      </w:r>
      <w:bookmarkEnd w:id="0"/>
      <w:bookmarkEnd w:id="1"/>
      <w:bookmarkEnd w:id="2"/>
    </w:p>
    <w:p>
      <w:pPr>
        <w:keepNext w:val="0"/>
        <w:keepLines w:val="0"/>
        <w:pageBreakBefore w:val="0"/>
        <w:widowControl/>
        <w:numPr>
          <w:ilvl w:val="0"/>
          <w:numId w:val="0"/>
        </w:numPr>
        <w:kinsoku/>
        <w:wordWrap/>
        <w:overflowPunct/>
        <w:topLinePunct w:val="0"/>
        <w:autoSpaceDE/>
        <w:autoSpaceDN/>
        <w:bidi w:val="0"/>
        <w:adjustRightInd/>
        <w:snapToGrid/>
        <w:spacing w:before="100" w:after="100" w:line="240" w:lineRule="auto"/>
        <w:ind w:right="-1000" w:rightChars="-500" w:firstLine="2730" w:firstLineChars="10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Tại…….., ngày…..tháng…..năm…..</w:t>
      </w:r>
    </w:p>
    <w:p>
      <w:pPr>
        <w:keepNext w:val="0"/>
        <w:keepLines w:val="0"/>
        <w:pageBreakBefore w:val="0"/>
        <w:widowControl/>
        <w:numPr>
          <w:ilvl w:val="0"/>
          <w:numId w:val="0"/>
        </w:numPr>
        <w:kinsoku/>
        <w:wordWrap/>
        <w:overflowPunct/>
        <w:topLinePunct w:val="0"/>
        <w:autoSpaceDE/>
        <w:autoSpaceDN/>
        <w:bidi w:val="0"/>
        <w:adjustRightInd/>
        <w:snapToGrid/>
        <w:spacing w:before="100" w:after="10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bookmarkStart w:id="3" w:name="_GoBack"/>
      <w:bookmarkEnd w:id="3"/>
      <w:r>
        <w:rPr>
          <w:rFonts w:hint="default" w:ascii="Times New Roman" w:hAnsi="Times New Roman"/>
          <w:b/>
          <w:bCs/>
          <w:color w:val="000000" w:themeColor="text1"/>
          <w:sz w:val="26"/>
          <w:szCs w:val="26"/>
          <w:lang w:val="en-US"/>
          <w14:textFill>
            <w14:solidFill>
              <w14:schemeClr w14:val="tx1"/>
            </w14:solidFill>
          </w14:textFill>
        </w:rPr>
        <w:t>QUY CHẾ DÂN CHỦ Ở CƠ SỞ 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00" w:after="10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Chương I</w:t>
      </w:r>
    </w:p>
    <w:p>
      <w:pPr>
        <w:keepNext w:val="0"/>
        <w:keepLines w:val="0"/>
        <w:pageBreakBefore w:val="0"/>
        <w:widowControl/>
        <w:numPr>
          <w:ilvl w:val="0"/>
          <w:numId w:val="0"/>
        </w:numPr>
        <w:kinsoku/>
        <w:wordWrap/>
        <w:overflowPunct/>
        <w:topLinePunct w:val="0"/>
        <w:autoSpaceDE/>
        <w:autoSpaceDN/>
        <w:bidi w:val="0"/>
        <w:adjustRightInd/>
        <w:snapToGrid/>
        <w:spacing w:before="100" w:after="10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NHỮNG QUY ĐỊNH CHUNG</w:t>
      </w:r>
    </w:p>
    <w:p>
      <w:pPr>
        <w:keepNext w:val="0"/>
        <w:keepLines w:val="0"/>
        <w:pageBreakBefore w:val="0"/>
        <w:widowControl/>
        <w:numPr>
          <w:ilvl w:val="0"/>
          <w:numId w:val="0"/>
        </w:numPr>
        <w:kinsoku/>
        <w:wordWrap/>
        <w:overflowPunct/>
        <w:topLinePunct w:val="0"/>
        <w:autoSpaceDE/>
        <w:autoSpaceDN/>
        <w:bidi w:val="0"/>
        <w:adjustRightInd/>
        <w:snapToGrid/>
        <w:spacing w:before="100" w:after="100" w:line="240" w:lineRule="auto"/>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1. Phạm vi và đối tượng áp dụng</w:t>
      </w:r>
    </w:p>
    <w:p>
      <w:pPr>
        <w:keepNext w:val="0"/>
        <w:keepLines w:val="0"/>
        <w:pageBreakBefore w:val="0"/>
        <w:widowControl/>
        <w:numPr>
          <w:ilvl w:val="1"/>
          <w:numId w:val="1"/>
        </w:numPr>
        <w:kinsoku/>
        <w:wordWrap/>
        <w:overflowPunct/>
        <w:topLinePunct w:val="0"/>
        <w:autoSpaceDE/>
        <w:autoSpaceDN/>
        <w:bidi w:val="0"/>
        <w:adjustRightInd/>
        <w:snapToGrid/>
        <w:spacing w:before="100" w:after="100" w:line="240" w:lineRule="auto"/>
        <w:ind w:left="195" w:leftChars="-200" w:right="-1000" w:rightChars="-500" w:hanging="595" w:hangingChars="22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Quy chế dân chủ ở cơ sở tại nơi làm việc này </w:t>
      </w:r>
      <w:r>
        <w:rPr>
          <w:rFonts w:hint="default" w:ascii="Times New Roman" w:hAnsi="Times New Roman"/>
          <w:b/>
          <w:bCs/>
          <w:color w:val="000000" w:themeColor="text1"/>
          <w:sz w:val="26"/>
          <w:szCs w:val="26"/>
          <w:lang w:val="en-US"/>
          <w14:textFill>
            <w14:solidFill>
              <w14:schemeClr w14:val="tx1"/>
            </w14:solidFill>
          </w14:textFill>
        </w:rPr>
        <w:t>(“Quy chế dân chủ”)</w:t>
      </w:r>
      <w:r>
        <w:rPr>
          <w:rFonts w:hint="default" w:ascii="Times New Roman" w:hAnsi="Times New Roman"/>
          <w:b w:val="0"/>
          <w:bCs w:val="0"/>
          <w:color w:val="000000" w:themeColor="text1"/>
          <w:sz w:val="26"/>
          <w:szCs w:val="26"/>
          <w:lang w:val="en-US"/>
          <w14:textFill>
            <w14:solidFill>
              <w14:schemeClr w14:val="tx1"/>
            </w14:solidFill>
          </w14:textFill>
        </w:rPr>
        <w:t xml:space="preserve"> quy định về quyền và trách nhiệm của Công ty (n) (gọi tắt là “Công ty”), Ban chấp hành Công đoàn cơ sở/Ban lãnh đạo Tổ chức của Người lao động tại doanh nghiệp/nhóm đại diện những người lao động không tham gia là thành viên của tổ chức đại diện người lao động tại cơ sở (</w:t>
      </w:r>
      <w:r>
        <w:rPr>
          <w:rFonts w:hint="default" w:ascii="Times New Roman" w:hAnsi="Times New Roman"/>
          <w:b/>
          <w:bCs/>
          <w:color w:val="000000" w:themeColor="text1"/>
          <w:sz w:val="26"/>
          <w:szCs w:val="26"/>
          <w:lang w:val="en-US"/>
          <w14:textFill>
            <w14:solidFill>
              <w14:schemeClr w14:val="tx1"/>
            </w14:solidFill>
          </w14:textFill>
        </w:rPr>
        <w:t>“Nhóm đại diện đối thoại của người lao động”)</w:t>
      </w:r>
      <w:r>
        <w:rPr>
          <w:rFonts w:hint="default" w:ascii="Times New Roman" w:hAnsi="Times New Roman"/>
          <w:b w:val="0"/>
          <w:bCs w:val="0"/>
          <w:color w:val="000000" w:themeColor="text1"/>
          <w:sz w:val="26"/>
          <w:szCs w:val="26"/>
          <w:lang w:val="en-US"/>
          <w14:textFill>
            <w14:solidFill>
              <w14:schemeClr w14:val="tx1"/>
            </w14:solidFill>
          </w14:textFill>
        </w:rPr>
        <w:t>, người lao động với các nội dung mà người lao động được biết, được tham gia ý kiến, được quyết định, được kiểm tra, giám sát và các hình thức thực hiện dân chủ ở cơ sở tại nơi làm việc nhằm tăng cường sự hiểu biết giữa Công ty với người lao động và xây dựng quan hệ lao động tốt đẹp tại doanh nghiệp.</w:t>
      </w:r>
    </w:p>
    <w:p>
      <w:pPr>
        <w:keepNext w:val="0"/>
        <w:keepLines w:val="0"/>
        <w:pageBreakBefore w:val="0"/>
        <w:widowControl/>
        <w:numPr>
          <w:ilvl w:val="1"/>
          <w:numId w:val="1"/>
        </w:numPr>
        <w:kinsoku/>
        <w:wordWrap/>
        <w:overflowPunct/>
        <w:topLinePunct w:val="0"/>
        <w:autoSpaceDE/>
        <w:autoSpaceDN/>
        <w:bidi w:val="0"/>
        <w:adjustRightInd/>
        <w:snapToGrid/>
        <w:spacing w:before="100" w:after="100" w:line="240" w:lineRule="auto"/>
        <w:ind w:left="198" w:leftChars="-200" w:right="-1000" w:rightChars="-500" w:hanging="598" w:hangingChars="22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Đối tượng áp dụng của </w:t>
      </w:r>
      <w:r>
        <w:rPr>
          <w:rFonts w:hint="default" w:ascii="Times New Roman" w:hAnsi="Times New Roman"/>
          <w:b w:val="0"/>
          <w:bCs w:val="0"/>
          <w:color w:val="000000" w:themeColor="text1"/>
          <w:sz w:val="26"/>
          <w:szCs w:val="26"/>
          <w:lang w:val="en-US"/>
          <w14:textFill>
            <w14:solidFill>
              <w14:schemeClr w14:val="tx1"/>
            </w14:solidFill>
          </w14:textFill>
        </w:rPr>
        <w:t>Quy chế dân chủ là [Tổng] Giám đốc hoặc người được [Tổng] Giám đốc ủy quyền hợp pháp, Ban chấp hành Công đoàn cơ sở/Ban lãnh đạo Tổ chức của Người lao động tại doanh nghiệp, Nhóm đại diện đối thoại của người lao động và tập thể người lao động đang làm việc tại Công ty.</w:t>
      </w:r>
    </w:p>
    <w:p>
      <w:pPr>
        <w:keepNext w:val="0"/>
        <w:keepLines w:val="0"/>
        <w:pageBreakBefore w:val="0"/>
        <w:widowControl/>
        <w:numPr>
          <w:ilvl w:val="0"/>
          <w:numId w:val="0"/>
        </w:numPr>
        <w:kinsoku/>
        <w:wordWrap/>
        <w:overflowPunct/>
        <w:topLinePunct w:val="0"/>
        <w:autoSpaceDE/>
        <w:autoSpaceDN/>
        <w:bidi w:val="0"/>
        <w:adjustRightInd/>
        <w:snapToGrid/>
        <w:spacing w:before="100" w:after="100" w:line="240" w:lineRule="auto"/>
        <w:ind w:left="-856" w:leftChars="-428" w:right="-1000" w:rightChars="-500" w:firstLine="459" w:firstLineChars="176"/>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2. Hình thức thực hiện dân chủ ở cơ sở 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00" w:after="100" w:line="240" w:lineRule="auto"/>
        <w:ind w:left="-856" w:leftChars="-428" w:right="-1000" w:rightChars="-500" w:firstLine="457" w:firstLineChars="176"/>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Quy chế dân chủ sẽ được thực hiện thông qua hình thức đối thoại tại nơi làm việc, hình thức hội nghị người lao động và các hình thức thực hiện dân chủ khác.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 w:leftChars="-200" w:right="-1000" w:rightChars="-500" w:hanging="399" w:hangingChars="15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Điều 3. Nguyên tắc thực hiện Quy chế dân chủ</w:t>
      </w:r>
    </w:p>
    <w:p>
      <w:pPr>
        <w:keepNext w:val="0"/>
        <w:keepLines w:val="0"/>
        <w:pageBreakBefore w:val="0"/>
        <w:widowControl/>
        <w:numPr>
          <w:ilvl w:val="1"/>
          <w:numId w:val="2"/>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Thiện chí, hợp tác, trung thực, bình đẳng, công khai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firstLine="130" w:firstLineChars="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minh bạch.</w:t>
      </w:r>
    </w:p>
    <w:p>
      <w:pPr>
        <w:keepNext w:val="0"/>
        <w:keepLines w:val="0"/>
        <w:pageBreakBefore w:val="0"/>
        <w:widowControl/>
        <w:numPr>
          <w:ilvl w:val="1"/>
          <w:numId w:val="2"/>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Tôn trọng quyền và lợi ích hợp pháp của người lao động,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và các tổ chức, cá nhân khác có liên quan.</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25" w:leftChars="-200"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3.3. Tổ chức thực hiện quy chế dân chủ ở cơ sở tại nơi làm việc không được trái pháp luật và đạo đức xã hội.</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Chương II</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NỘI DUNG QUY CHẾ DÂN CHỦ Ở CƠ SỞ</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0" w:leftChars="-390" w:right="-1000" w:rightChars="-500" w:firstLine="381" w:firstLineChars="146"/>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 xml:space="preserve">Điều 4. Những nội dung Công ty sẽ công khai cho người lao động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200" w:leftChars="-200" w:right="-1000" w:rightChars="-500" w:hanging="600" w:hangingChars="23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4.1. Nhằm mục đích thông tin cho người lao động được biết cũng như để người lao động tuân thủ các quy định chính sách của Công ty, Công ty sẽ công khai những nội dung dưới đây đến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firstLine="130" w:firstLineChars="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a) Tình hình sản xuất, kinh doanh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412" w:leftChars="63" w:right="-1000" w:rightChars="-500" w:hanging="286" w:hangingChars="11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Nội quy lao động, thang lương, bảng lương, định mức lao động, nội quy, quy chế và các văn bản quy định khác của người sử dụng lao động liên quan đến quyền lợi, nghĩa vụ và trách nhiệm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412" w:leftChars="63" w:right="-1000" w:rightChars="-500" w:hanging="286" w:hangingChars="11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 Các thỏa ước lao động tập thể mà Công ty tham gia; d) Việc trích lập và sử dụng quỹ khen thưởng, quỹ phúc lợi, các quỹ do người lao động đóng góp (nếu có);</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412" w:leftChars="63" w:right="-1000" w:rightChars="-500" w:hanging="286" w:hangingChars="11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(e) Việc trích nộp kinh phí Công đoàn, đóng bảo hiểm xã hội, bảo hiểm y tế, bảo hiểm thất nghiệp;</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412" w:leftChars="63" w:right="-1000" w:rightChars="-500" w:hanging="286" w:hangingChars="11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f) Tình hình thực hiện thi đua, khen thưởng, kỷ luật, giải quyết khiếu nại, tố cáo liên quan đến quyền, nghĩa vụ và lợi ích của người lao động; và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0" w:leftChars="0" w:right="-1000" w:rightChars="-500" w:firstLine="197" w:firstLineChars="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 Nội dung khác theo quy định của pháp luật.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4.2. Công ty sẽ áp dụng một trong các hình thức sau đây để công khai các nội dung tại Điều 4.1 nêu trên đến người lao động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a) Thông báo qua bản tin nội bộ, truyền thanh nội bộ đến toàn thể người lao động trong Công ty theo từng [tháng]/[quý]; hoặc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Thông báo bằng văn bản gửi đến các [phòng/ban/bộ phận/tổ/đội sản xuất kinh doanh) của Công ty theo từng [tháng]/[quý]. Các [phòng/ban/bộ phận/tổ/đội sản xuất kinh doanh] của Công ty sẽ chịu trách nhiệm truyền đạt các thông tin này đến từng người lao động trong phòng ban và lập báo cáo gửi về cho phòng nhân sự trong thời hạn [07 ngày] kể từ ngày kết thúc việc thông báo đến từng người lao động; hoặc</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 Thông báo qua [cuộc họp giao ban (định kỳ hằng tháng)], các đối thoại định kỳ và hội nghị người lao động hằng năm giữa đại diện của Công ty, Ban chấp hành Công đoàn cơ sở/Ban lãnh đạo Tổ chức của Người lao động tại doanh nghiệp/nhóm đại diện đối thoại của người lao động và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d) Thông báo trên hệ thống thông tin nội bộ; và</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e) Niêm yết công khai ở những địa điểm thuận lợi tại Công ty để người lao động có thể nhận biết.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4" w:firstLineChars="147"/>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5. Những nội dung và hình thức người lao động được tham gia ý kiến</w:t>
      </w:r>
    </w:p>
    <w:p>
      <w:pPr>
        <w:keepNext w:val="0"/>
        <w:keepLines w:val="0"/>
        <w:pageBreakBefore w:val="0"/>
        <w:widowControl/>
        <w:numPr>
          <w:ilvl w:val="1"/>
          <w:numId w:val="3"/>
        </w:numPr>
        <w:kinsoku/>
        <w:wordWrap/>
        <w:overflowPunct/>
        <w:topLinePunct w:val="0"/>
        <w:autoSpaceDE/>
        <w:autoSpaceDN/>
        <w:bidi w:val="0"/>
        <w:adjustRightInd/>
        <w:snapToGrid/>
        <w:spacing w:before="160" w:after="160" w:line="240" w:lineRule="auto"/>
        <w:ind w:left="127" w:leftChars="-199"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sẽ tạo mọi điều kiện để người lao động được quyền tham gia và nêu ý kiến liên quan đến: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6" w:leftChars="54" w:right="-1000" w:rightChars="-500" w:hanging="288" w:hangingChars="111"/>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a) Xây dựng, sửa đổi, bổ sung nội quy, quy chế và các văn bản quy định khác của người sử dụng lao động liên quan đến quyền, nghĩa vụ và lợi ích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5" w:leftChars="100" w:right="-1000" w:rightChars="-500" w:hanging="395" w:hangingChars="15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Xây dựng, sửa đổi, bổ sung thang lương, bảng lương, định mức lao động; đề xuất nội dung thương lượng tập thể;</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5" w:leftChars="100" w:right="-1000" w:rightChars="-500" w:hanging="395" w:hangingChars="15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 Đề xuất, thực hiện giải pháp tiết kiệm chi phí, nâng cao năng suất lao động, cải thiện điều kiện làm việc, bảo vệ môi trường và phòng chống cháy nổ.</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5" w:leftChars="100" w:right="-1000" w:rightChars="-500" w:hanging="395" w:hangingChars="15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d) Các nội dung khác liên quan đến quyền, nghĩa vụ và lợi ích của người lao động theo quy định của pháp luật.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11" w:leftChars="-200" w:right="-1000" w:rightChars="-500" w:hanging="611" w:hangingChars="23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5.2. Các hình thức mà người lao động sẽ được tham gia lấy ý kiến bao gồm: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6" w:leftChars="129" w:right="-1000" w:rightChars="-500" w:hanging="338" w:hangingChars="13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a) Tham gia ý kiến trực tiếp hoặc thông qua tổ chức đại diện người lao động tại cơ sở, nhóm đại diện đối thoại của người lao động tại hội nghị người lao động, đối thoại 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6" w:leftChars="129" w:right="-1000" w:rightChars="-500" w:hanging="338" w:hangingChars="13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Gửi góp ý, kiến nghị trực tiếp; và</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6" w:leftChars="129" w:right="-1000" w:rightChars="-500" w:hanging="338" w:hangingChars="13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 Hình thức khác mà pháp luật không cấm.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00" w:leftChars="-400" w:right="-1000" w:rightChars="-500" w:firstLine="399" w:firstLine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6. Những nội dung và hình thức người lao động quyết định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8" w:leftChars="-200" w:right="-1000" w:rightChars="-500" w:hanging="418" w:hangingChars="16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6.1. Người lao động sẽ có quyền đưa ra quyết định đối với các nội dung sau đây: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76" w:leftChars="59" w:right="-1000" w:rightChars="-500" w:hanging="158" w:hangingChars="6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a) Giao kết, sửa đổi, bổ sung, chấm dứt hợp đồng lao động phù hợp với quy định của pháp luật;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76" w:leftChars="59" w:right="-1000" w:rightChars="-500" w:hanging="158" w:hangingChars="6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Gia nhập hoặc không gia nhập tổ chức đại diện người lao động tại cơ sở;</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406" w:leftChars="59" w:right="-1000" w:rightChars="-500" w:hanging="288" w:hangingChars="11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 Tham gia hoặc không tham gia đình công theo của pháp luật; quy định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5" w:leftChars="64" w:right="-1000" w:rightChars="-500" w:hanging="267" w:hangingChars="10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d) Biểu quyết nội dung thương lượng tập thể đã đạt được để ký kết thỏa ước lao động tập thể theo quy định của pháp luật;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25" w:leftChars="100" w:right="-1000" w:rightChars="-500" w:hanging="325" w:hangingChars="12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e) Nội dung khác theo quy định của pháp luật hoặc theo thỏa thuận của các bên.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23" w:leftChars="-200" w:right="-1000" w:rightChars="-500" w:hanging="923" w:hangingChars="35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6.2. Hình thức người lao động quyết định: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a) Đối với hợp đồng lao động, người lao động sẽ có quyền quyết định những nội dung trong hợp đồng lao động theo thỏa thuận bằng văn bản với Công ty phù hợp với quy định của pháp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Đối với nội dung thương lượng tập thể, các nội dung sửa đổi, bổ sung thỏa ước lao động tập thể, người lao động sẽ được biểu quyết tại cuộc họp lấy ý kiến về thương lượng tập thể và cuộc họp lấy ý kiến thông qua thỏa ước lao động tập thể; và</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 Đối với nghị quyết của Hội nghị người lao động, người lao động sẽ quyết định thông qua nghị quyết bằng hình thức biểu quyết tại Hội nghị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4" w:firstLineChars="147"/>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7. Những nội dung và hình thức người lao động kiểm tra, giám sát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Người lao động sẽ có quyền kiểm tra, giám sát đối với các hoạt động sau đây trong Công ty thông qua việc phản ánh, kiến nghị hoặc khiếu nại đến Công ty, Ban chấp hành Công đoàn cơ sở/Ban lãnh đạo Tổ chức của Người lao động tại doanh nghiệp hoặc cơ quan thẩm quyền theo quy định của pháp luật.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Các hoạt động này bao gồm:</w:t>
      </w:r>
    </w:p>
    <w:p>
      <w:pPr>
        <w:keepNext w:val="0"/>
        <w:keepLines w:val="0"/>
        <w:pageBreakBefore w:val="0"/>
        <w:widowControl/>
        <w:numPr>
          <w:ilvl w:val="0"/>
          <w:numId w:val="4"/>
        </w:numPr>
        <w:kinsoku/>
        <w:wordWrap/>
        <w:overflowPunct/>
        <w:topLinePunct w:val="0"/>
        <w:autoSpaceDE/>
        <w:autoSpaceDN/>
        <w:bidi w:val="0"/>
        <w:adjustRightInd/>
        <w:snapToGrid/>
        <w:spacing w:before="160" w:after="160" w:line="240" w:lineRule="auto"/>
        <w:ind w:left="393" w:leftChars="63" w:right="-1000" w:rightChars="-500" w:hanging="267" w:hangingChars="10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Việc thực hiện hợp đồng lao động và thỏa ước lao động tập thể;</w:t>
      </w:r>
    </w:p>
    <w:p>
      <w:pPr>
        <w:keepNext w:val="0"/>
        <w:keepLines w:val="0"/>
        <w:pageBreakBefore w:val="0"/>
        <w:widowControl/>
        <w:numPr>
          <w:ilvl w:val="0"/>
          <w:numId w:val="4"/>
        </w:numPr>
        <w:kinsoku/>
        <w:wordWrap/>
        <w:overflowPunct/>
        <w:topLinePunct w:val="0"/>
        <w:autoSpaceDE/>
        <w:autoSpaceDN/>
        <w:bidi w:val="0"/>
        <w:adjustRightInd/>
        <w:snapToGrid/>
        <w:spacing w:before="160" w:after="160" w:line="240" w:lineRule="auto"/>
        <w:ind w:left="393" w:leftChars="63" w:right="-1000" w:rightChars="-500" w:hanging="267" w:hangingChars="10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Việc thực hiện nội quy lao động, quy chế và các văn bản quy định khác của người sử dụng lao động liên quan đến quyền, nghĩa vụ và lợi ích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7" w:leftChars="100" w:right="-1000" w:rightChars="-500" w:hanging="197" w:hangingChars="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 Việc sử dụng quỹ khen thưởng, quỹ phúc lợi, các quỹ do người lao động đóng góp;</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399"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CÁC BIỂU MẪU NHÂN SỰ KHÓ TÌM</w:t>
      </w:r>
      <w:r>
        <w:rPr>
          <w:rFonts w:hint="default" w:ascii="Times New Roman" w:hAnsi="Times New Roman" w:cs="Times New Roman"/>
          <w:b/>
          <w:bCs/>
          <w:color w:val="2E75B6" w:themeColor="accent1" w:themeShade="BF"/>
          <w:sz w:val="18"/>
          <w:szCs w:val="18"/>
          <w:lang w:val="en-US"/>
        </w:rPr>
        <w:t xml:space="preserve"> LIÊN QUAN ĐẾN PHÁP LUẬT LAO ĐỘNG</w:t>
      </w:r>
      <w:r>
        <w:rPr>
          <w:rFonts w:hint="default" w:ascii="Times New Roman" w:hAnsi="Times New Roman" w:cs="Times New Roman"/>
          <w:sz w:val="18"/>
          <w:szCs w:val="18"/>
          <w:lang w:val="en-US"/>
        </w:rPr>
        <w:t xml:space="preserve"> </w:t>
      </w:r>
      <w:r>
        <w:rPr>
          <w:rFonts w:hint="default" w:ascii="Times New Roman" w:hAnsi="Times New Roman" w:cs="Times New Roman"/>
          <w:b/>
          <w:bCs/>
          <w:color w:val="000000" w:themeColor="text1"/>
          <w:sz w:val="18"/>
          <w:szCs w:val="18"/>
          <w:lang w:val="en-US"/>
          <w14:textFill>
            <w14:solidFill>
              <w14:schemeClr w14:val="tx1"/>
            </w14:solidFill>
          </w14:textFill>
        </w:rPr>
        <w:t xml:space="preserve">HARD-TO-FIND TEMPLATES OF </w:t>
      </w:r>
      <w:r>
        <w:rPr>
          <w:rFonts w:hint="default" w:ascii="Times New Roman" w:hAnsi="Times New Roman" w:cs="Times New Roman"/>
          <w:b/>
          <w:bCs/>
          <w:color w:val="2E75B6" w:themeColor="accent1" w:themeShade="BF"/>
          <w:sz w:val="18"/>
          <w:szCs w:val="18"/>
          <w:lang w:val="en-US"/>
        </w:rPr>
        <w:t>HUMAN RESOURCE RELATING TO LABOUR LAW</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600" w:leftChars="100" w:right="-1000" w:rightChars="-500" w:hanging="40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d) Việc trích nộp kinh phí Công đoàn, đóng bảo hiểm xã hội, bảo hiểm y tế, bảo hiểm thất nghiệp của Công ty;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600" w:leftChars="100" w:right="-1000" w:rightChars="-500" w:hanging="40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e) Việc thực hiện thi đua, khen thưởng, kỷ luật, giải quyết khiếu nại, tố cáo liên quan đến quyền, nghĩa vụ và lợi ích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Chương III</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HÌNH THỨC THỰC HIỆN DÂN CHỦ Ở CƠ SỞ</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8. Tổ chức đối thoại 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Đối thoại tại nơi làm việc là việc trao đổi trực tiếp giữa Công ty với người lao động và Ban chấp hành Công đoàn cơ sở/Ban lãnh đạo Tổ chức của Người lao động tại doanh nghiệp nhằm chia sẻ thông tin, tăng cường sự hiểu biết giữa Công ty và người lao động. Việc tổ chức đối thoại tại nơi làm sẽ được quy định cụ thể tại Quy chế đối thoại tại nơi làm việc do Công ty ban hành kèm theo Quy chế dân chủ này.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4" w:firstLineChars="147"/>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9. Tổ chức Hội nghị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Hội nghị người lao động là cuộc họp do Công ty chủ trì tổ chức hằng năm có sự tham gia của người lao động và Ban chấp hành Công đoàn tại cơ sở/Ban lãnh đạo Tổ chức của Người lao động tại doanh nghiệp nhằm trao đổi thông tin và thực hiện các quyền dân chủ cho người lao động. Việc tổ chức Hội nghị người lao động sẽ được quy định cụ thể tại Quy chế Hội nghị người lao động do Công ty ban hành kèm theo Quy chế dân chủ này.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4" w:firstLineChars="147"/>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10. Các hình thức thực hiện dân chủ khác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Ngoài hình thức tổ chức đối thoại tại nơi làm việc và tổ chức Hội nghị người lao động, Công ty sẽ đảm bảo cho người lao động được thực hiện quyền dân chủ của mình tại nơi làm việc thông qua các hình thức đã được qui định trong Quy chế dân chủ, cụ thể là (i) hình thức công khai tại Điều 4.2; (ii) hình thức người lao động được tham</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399" w:firstLineChars="221"/>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399"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CÁC BIỂU MẪU NHÂN SỰ KHÓ TÌM</w:t>
      </w:r>
      <w:r>
        <w:rPr>
          <w:rFonts w:hint="default" w:ascii="Times New Roman" w:hAnsi="Times New Roman" w:cs="Times New Roman"/>
          <w:b/>
          <w:bCs/>
          <w:color w:val="2E75B6" w:themeColor="accent1" w:themeShade="BF"/>
          <w:sz w:val="18"/>
          <w:szCs w:val="18"/>
          <w:lang w:val="en-US"/>
        </w:rPr>
        <w:t xml:space="preserve"> LIÊN QUAN ĐẾN PHÁP LUẬT LAO ĐỘNG</w:t>
      </w:r>
      <w:r>
        <w:rPr>
          <w:rFonts w:hint="default" w:ascii="Times New Roman" w:hAnsi="Times New Roman" w:cs="Times New Roman"/>
          <w:sz w:val="18"/>
          <w:szCs w:val="18"/>
          <w:lang w:val="en-US"/>
        </w:rPr>
        <w:t xml:space="preserve"> </w:t>
      </w:r>
      <w:r>
        <w:rPr>
          <w:rFonts w:hint="default" w:ascii="Times New Roman" w:hAnsi="Times New Roman" w:cs="Times New Roman"/>
          <w:b/>
          <w:bCs/>
          <w:color w:val="000000" w:themeColor="text1"/>
          <w:sz w:val="18"/>
          <w:szCs w:val="18"/>
          <w:lang w:val="en-US"/>
          <w14:textFill>
            <w14:solidFill>
              <w14:schemeClr w14:val="tx1"/>
            </w14:solidFill>
          </w14:textFill>
        </w:rPr>
        <w:t xml:space="preserve">HARD-TO-FIND TEMPLATES OF </w:t>
      </w:r>
      <w:r>
        <w:rPr>
          <w:rFonts w:hint="default" w:ascii="Times New Roman" w:hAnsi="Times New Roman" w:cs="Times New Roman"/>
          <w:b/>
          <w:bCs/>
          <w:color w:val="2E75B6" w:themeColor="accent1" w:themeShade="BF"/>
          <w:sz w:val="18"/>
          <w:szCs w:val="18"/>
          <w:lang w:val="en-US"/>
        </w:rPr>
        <w:t>HUMAN RESOURCE RELATING TO LABOUR LAW</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5" w:leftChars="-400" w:right="-1000" w:rightChars="-500" w:hanging="15" w:hangingChars="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gia lấy ý kiến tại Điều 5.2; (iii) hình thức người lao động được quyền quyết định tại Điều 6.2 và (iv) hình thức người lao động được quyền kiểm tra, giám sát tại Điều 7.</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Chương IV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TỔ CHỨC THỰC HIỆN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4"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Điều 11.</w:t>
      </w:r>
      <w:r>
        <w:rPr>
          <w:rFonts w:hint="default" w:ascii="Times New Roman" w:hAnsi="Times New Roman"/>
          <w:b w:val="0"/>
          <w:bCs w:val="0"/>
          <w:color w:val="000000" w:themeColor="text1"/>
          <w:sz w:val="26"/>
          <w:szCs w:val="26"/>
          <w:lang w:val="en-US"/>
          <w14:textFill>
            <w14:solidFill>
              <w14:schemeClr w14:val="tx1"/>
            </w14:solidFill>
          </w14:textFill>
        </w:rPr>
        <w:t xml:space="preserve"> Quy chế dân chủ này có hiệu lực kể từ ngày ký và được lập thành [02 (hai)] bản gốc lưu tại trụ sở của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4"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Điều 12</w:t>
      </w:r>
      <w:r>
        <w:rPr>
          <w:rFonts w:hint="default" w:ascii="Times New Roman" w:hAnsi="Times New Roman"/>
          <w:b w:val="0"/>
          <w:bCs w:val="0"/>
          <w:color w:val="000000" w:themeColor="text1"/>
          <w:sz w:val="26"/>
          <w:szCs w:val="26"/>
          <w:lang w:val="en-US"/>
          <w14:textFill>
            <w14:solidFill>
              <w14:schemeClr w14:val="tx1"/>
            </w14:solidFill>
          </w14:textFill>
        </w:rPr>
        <w:t>. [Tổng] Giám đốc Công ty có trách nhiệm chủ trì, phối hợp với Ban chấp hành Công đoàn cơ sở/Ban lãnh đạo Tổ chức của Người lao động tại doanh nghiệp Công ty tổ chức thực hiện theo đúng quy định của Quy chế dân chủ.</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4"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Điều 13.</w:t>
      </w:r>
      <w:r>
        <w:rPr>
          <w:rFonts w:hint="default" w:ascii="Times New Roman" w:hAnsi="Times New Roman"/>
          <w:b w:val="0"/>
          <w:bCs w:val="0"/>
          <w:color w:val="000000" w:themeColor="text1"/>
          <w:sz w:val="26"/>
          <w:szCs w:val="26"/>
          <w:lang w:val="en-US"/>
          <w14:textFill>
            <w14:solidFill>
              <w14:schemeClr w14:val="tx1"/>
            </w14:solidFill>
          </w14:textFill>
        </w:rPr>
        <w:t xml:space="preserve"> Ban chấp hành Công đoàn cơ sở/Ban lãnh đạo Tổ chức của Người lao động tại doanh nghiệp, trưởng các [phòng/ban/phân xưởng/tổ đội sản xuất] và người lao động thuộc Công ty có trách nhiệm tổ chức và thực hiện Quy chế dân chủ này.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2219" w:firstLineChars="8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Thay mặt và đại diện cho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2935168" behindDoc="0" locked="0" layoutInCell="1" allowOverlap="1">
                <wp:simplePos x="0" y="0"/>
                <wp:positionH relativeFrom="column">
                  <wp:posOffset>1870710</wp:posOffset>
                </wp:positionH>
                <wp:positionV relativeFrom="paragraph">
                  <wp:posOffset>268605</wp:posOffset>
                </wp:positionV>
                <wp:extent cx="1606550" cy="6350"/>
                <wp:effectExtent l="0" t="4445" r="6350" b="8255"/>
                <wp:wrapNone/>
                <wp:docPr id="175" name="Straight Connector 175"/>
                <wp:cNvGraphicFramePr/>
                <a:graphic xmlns:a="http://schemas.openxmlformats.org/drawingml/2006/main">
                  <a:graphicData uri="http://schemas.microsoft.com/office/word/2010/wordprocessingShape">
                    <wps:wsp>
                      <wps:cNvCnPr/>
                      <wps:spPr>
                        <a:xfrm flipV="1">
                          <a:off x="3013710" y="6026785"/>
                          <a:ext cx="1606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47.3pt;margin-top:21.15pt;height:0.5pt;width:126.5pt;z-index:252935168;mso-width-relative:page;mso-height-relative:page;" filled="f" stroked="t" coordsize="21600,21600" o:gfxdata="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&#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MnYAvXAAAACQEAAA8AAAAAAAAAAQAgAAAAIgAAAGRy&#10;cy9kb3ducmV2LnhtbFBLAQIUABQAAAAIAIdO4kAPfSnxzQEAAIMDAAAOAAAAAAAAAAEAIAAAACYB&#10;AABkcnMvZTJvRG9jLnhtbFBLBQYAAAAABgAGAFkBAABlBQ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sz w:val="26"/>
          <w:lang w:val="en-US"/>
        </w:rPr>
        <w:t xml:space="preserve">                                 </w:t>
      </w:r>
      <w:r>
        <w:rPr>
          <w:rFonts w:hint="default" w:ascii="Times New Roman" w:hAnsi="Times New Roman"/>
          <w:b w:val="0"/>
          <w:bCs w:val="0"/>
          <w:color w:val="000000" w:themeColor="text1"/>
          <w:sz w:val="26"/>
          <w:szCs w:val="26"/>
          <w:lang w:val="en-US"/>
          <w14:textFill>
            <w14:solidFill>
              <w14:schemeClr w14:val="tx1"/>
            </w14:solidFill>
          </w14:textFill>
        </w:rPr>
        <w:t>[Họ và tên]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3640" w:firstLineChars="14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[Tổng] Giám đốc</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F1297B"/>
    <w:multiLevelType w:val="multilevel"/>
    <w:tmpl w:val="9FF1297B"/>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D3A8EDA3"/>
    <w:multiLevelType w:val="singleLevel"/>
    <w:tmpl w:val="D3A8EDA3"/>
    <w:lvl w:ilvl="0" w:tentative="0">
      <w:start w:val="1"/>
      <w:numFmt w:val="lowerLetter"/>
      <w:suff w:val="space"/>
      <w:lvlText w:val="%1)"/>
      <w:lvlJc w:val="left"/>
    </w:lvl>
  </w:abstractNum>
  <w:abstractNum w:abstractNumId="2">
    <w:nsid w:val="EB9D947D"/>
    <w:multiLevelType w:val="multilevel"/>
    <w:tmpl w:val="EB9D947D"/>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4C9155B0"/>
    <w:multiLevelType w:val="multilevel"/>
    <w:tmpl w:val="4C9155B0"/>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3290D"/>
    <w:rsid w:val="2813290D"/>
    <w:rsid w:val="43760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2023-07-07T07:13:00Z</dcterms:created>
  <dc:creator>Hảo Thanh</dc:creator>
  <cp:lastModifiedBy>Hảo Thanh</cp:lastModifiedBy>
  <dcterms:modified xsi:type="dcterms:W3CDTF">2023-07-21T06:45:44Z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